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2024年创新研究项目立项申报指南</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黑体" w:hAnsi="黑体" w:eastAsia="黑体" w:cs="黑体"/>
          <w:sz w:val="32"/>
          <w:szCs w:val="32"/>
          <w:lang w:val="en-US" w:eastAsia="zh-CN"/>
        </w:rPr>
      </w:pP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一、政策依据</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《佛山市教育局 佛山市科学技术局 佛山市财政局关于印发&lt;佛山市促进高校科技成果服务产业发展扶持办法&gt;的通知》（佛山教育〔2023〕20号）第九条。</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二、政策内容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hAnsi="仿宋" w:eastAsia="仿宋_GB2312" w:cs="Times New Roman"/>
          <w:sz w:val="32"/>
          <w:szCs w:val="32"/>
          <w:shd w:val="clear" w:color="auto" w:fill="FFFFFF"/>
        </w:rPr>
        <w:t>创新研究项目是指高校教师基于我市产业发展过程中遇到的行业共性技术瓶颈或企业技术需求，提出切实可行的解决方案及技术路径，并持续进行应用技术创新研究的项目。</w:t>
      </w:r>
      <w:r>
        <w:rPr>
          <w:rFonts w:hint="eastAsia" w:ascii="仿宋_GB2312" w:eastAsia="仿宋_GB2312"/>
          <w:sz w:val="32"/>
          <w:szCs w:val="32"/>
          <w:lang w:val="en-US" w:eastAsia="zh-CN"/>
        </w:rPr>
        <w:t>扶持标准具体如下。</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仿宋_GB2312" w:hAnsi="仿宋" w:eastAsia="仿宋_GB2312" w:cs="Times New Roman"/>
          <w:sz w:val="32"/>
          <w:szCs w:val="32"/>
          <w:shd w:val="clear" w:color="auto" w:fill="FFFFFF"/>
          <w:lang w:eastAsia="zh-CN"/>
        </w:rPr>
      </w:pPr>
      <w:r>
        <w:rPr>
          <w:rFonts w:hint="eastAsia" w:ascii="仿宋_GB2312" w:hAnsi="宋体" w:eastAsia="仿宋_GB2312" w:cs="宋体"/>
          <w:sz w:val="32"/>
          <w:szCs w:val="32"/>
          <w:lang w:val="en-US" w:eastAsia="zh-CN"/>
        </w:rPr>
        <w:t>项目负责人自主选择申报类别。对立项的创新研究项目，按“一类”、“二类”、“三类”等级分别给予25万元、10万元、5万元的启动经费，实施期为1至3年。实施期满，对通过验收评审的创新研究项目，分别给予25万元、10万元、5万元的扶持经费。</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三、申报要求</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宋体" w:eastAsia="仿宋_GB2312" w:cs="宋体"/>
          <w:kern w:val="2"/>
          <w:sz w:val="32"/>
          <w:szCs w:val="32"/>
          <w:lang w:val="en-US" w:eastAsia="zh-CN" w:bidi="ar-SA"/>
        </w:rPr>
        <w:t>申报单位须为高校或科研院所，项目负责人须为高校教师。</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（二）团队</w:t>
      </w:r>
      <w:r>
        <w:rPr>
          <w:rFonts w:hint="eastAsia" w:ascii="仿宋_GB2312" w:hAnsi="宋体" w:eastAsia="仿宋_GB2312" w:cs="宋体"/>
          <w:sz w:val="32"/>
          <w:szCs w:val="32"/>
          <w:lang w:val="en-US" w:eastAsia="zh-CN"/>
        </w:rPr>
        <w:t>核心成员不少于3名。</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w:t>
      </w:r>
      <w:r>
        <w:rPr>
          <w:rFonts w:hint="eastAsia" w:ascii="仿宋_GB2312" w:hAnsi="宋体" w:eastAsia="仿宋_GB2312" w:cs="宋体"/>
          <w:kern w:val="2"/>
          <w:sz w:val="32"/>
          <w:szCs w:val="32"/>
          <w:lang w:val="en-US" w:eastAsia="zh-CN" w:bidi="ar-SA"/>
        </w:rPr>
        <w:t>项目团队</w:t>
      </w:r>
      <w:r>
        <w:rPr>
          <w:rFonts w:hint="default" w:ascii="仿宋_GB2312" w:hAnsi="仿宋_GB2312" w:eastAsia="仿宋_GB2312" w:cs="仿宋_GB2312"/>
          <w:sz w:val="32"/>
          <w:szCs w:val="32"/>
          <w:lang w:val="en-US" w:eastAsia="zh-CN"/>
        </w:rPr>
        <w:t>须基于我市产业发展核心</w:t>
      </w:r>
      <w:r>
        <w:rPr>
          <w:rFonts w:hint="eastAsia" w:ascii="仿宋_GB2312" w:hAnsi="仿宋_GB2312" w:eastAsia="仿宋_GB2312" w:cs="仿宋_GB2312"/>
          <w:sz w:val="32"/>
          <w:szCs w:val="32"/>
          <w:lang w:val="en-US" w:eastAsia="zh-CN"/>
        </w:rPr>
        <w:t>技术需求和</w:t>
      </w:r>
      <w:r>
        <w:rPr>
          <w:rFonts w:hint="default" w:ascii="仿宋_GB2312" w:hAnsi="仿宋_GB2312" w:eastAsia="仿宋_GB2312" w:cs="仿宋_GB2312"/>
          <w:sz w:val="32"/>
          <w:szCs w:val="32"/>
          <w:lang w:val="en-US" w:eastAsia="zh-CN"/>
        </w:rPr>
        <w:t>企业共</w:t>
      </w:r>
      <w:bookmarkStart w:id="0" w:name="_GoBack"/>
      <w:bookmarkEnd w:id="0"/>
      <w:r>
        <w:rPr>
          <w:rFonts w:hint="default" w:ascii="仿宋_GB2312" w:hAnsi="仿宋_GB2312" w:eastAsia="仿宋_GB2312" w:cs="仿宋_GB2312"/>
          <w:sz w:val="32"/>
          <w:szCs w:val="32"/>
          <w:lang w:val="en-US" w:eastAsia="zh-CN"/>
        </w:rPr>
        <w:t>性技术需求开展应用</w:t>
      </w:r>
      <w:r>
        <w:rPr>
          <w:rFonts w:hint="eastAsia" w:ascii="仿宋_GB2312" w:hAnsi="Segoe UI" w:eastAsia="仿宋_GB2312" w:cs="仿宋_GB2312"/>
          <w:i w:val="0"/>
          <w:iCs w:val="0"/>
          <w:caps w:val="0"/>
          <w:color w:val="000000"/>
          <w:spacing w:val="0"/>
          <w:kern w:val="0"/>
          <w:sz w:val="32"/>
          <w:szCs w:val="32"/>
          <w:shd w:val="clear" w:fill="FFFFFF"/>
          <w:lang w:val="en-US" w:eastAsia="zh-CN" w:bidi="ar"/>
        </w:rPr>
        <w:t>技术创新</w:t>
      </w:r>
      <w:r>
        <w:rPr>
          <w:rFonts w:hint="default" w:ascii="仿宋_GB2312" w:hAnsi="仿宋_GB2312" w:eastAsia="仿宋_GB2312" w:cs="仿宋_GB2312"/>
          <w:sz w:val="32"/>
          <w:szCs w:val="32"/>
          <w:lang w:val="en-US" w:eastAsia="zh-CN"/>
        </w:rPr>
        <w:t>研究。</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r>
        <w:rPr>
          <w:rFonts w:hint="eastAsia" w:ascii="仿宋_GB2312" w:hAnsi="宋体" w:eastAsia="仿宋_GB2312" w:cs="宋体"/>
          <w:kern w:val="2"/>
          <w:sz w:val="32"/>
          <w:szCs w:val="32"/>
          <w:lang w:val="en-US" w:eastAsia="zh-CN" w:bidi="ar-SA"/>
        </w:rPr>
        <w:t>项目团队须在相关领域显示出明显的创新能力、研发优势和发展潜力，或已取得较突出的创新成果。</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560" w:lineRule="exact"/>
        <w:ind w:left="0" w:right="0" w:firstLine="640"/>
        <w:jc w:val="left"/>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四、项目专题</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560" w:lineRule="exact"/>
        <w:ind w:left="0" w:right="0" w:firstLine="640"/>
        <w:jc w:val="left"/>
        <w:textAlignment w:val="auto"/>
        <w:rPr>
          <w:rFonts w:hint="eastAsia" w:ascii="仿宋_GB2312" w:hAnsi="仿宋_GB2312" w:eastAsia="仿宋_GB2312" w:cs="仿宋_GB2312"/>
          <w:sz w:val="32"/>
          <w:szCs w:val="32"/>
          <w:lang w:val="en-US" w:eastAsia="zh-CN"/>
        </w:rPr>
      </w:pPr>
      <w:r>
        <w:rPr>
          <w:rFonts w:hint="eastAsia" w:ascii="仿宋_GB2312" w:hAnsi="Segoe UI" w:eastAsia="仿宋_GB2312" w:cs="仿宋_GB2312"/>
          <w:i w:val="0"/>
          <w:iCs w:val="0"/>
          <w:caps w:val="0"/>
          <w:color w:val="000000"/>
          <w:spacing w:val="0"/>
          <w:kern w:val="0"/>
          <w:sz w:val="32"/>
          <w:szCs w:val="32"/>
          <w:shd w:val="clear" w:fill="FFFFFF"/>
          <w:lang w:val="en-US" w:eastAsia="zh-CN" w:bidi="ar"/>
        </w:rPr>
        <w:t>根据佛山市产业发展技术需求，重点扶持</w:t>
      </w:r>
      <w:r>
        <w:rPr>
          <w:rFonts w:ascii="仿宋_GB2312" w:hAnsi="Segoe UI" w:eastAsia="仿宋_GB2312" w:cs="仿宋_GB2312"/>
          <w:i w:val="0"/>
          <w:iCs w:val="0"/>
          <w:caps w:val="0"/>
          <w:color w:val="000000"/>
          <w:spacing w:val="0"/>
          <w:kern w:val="0"/>
          <w:sz w:val="32"/>
          <w:szCs w:val="32"/>
          <w:shd w:val="clear" w:fill="FFFFFF"/>
          <w:lang w:val="en-US" w:eastAsia="zh-CN" w:bidi="ar"/>
        </w:rPr>
        <w:t>新材料</w:t>
      </w:r>
      <w:r>
        <w:rPr>
          <w:rFonts w:hint="eastAsia" w:ascii="仿宋_GB2312" w:hAnsi="Segoe UI" w:eastAsia="仿宋_GB2312" w:cs="仿宋_GB2312"/>
          <w:i w:val="0"/>
          <w:iCs w:val="0"/>
          <w:caps w:val="0"/>
          <w:color w:val="000000"/>
          <w:spacing w:val="0"/>
          <w:kern w:val="0"/>
          <w:sz w:val="32"/>
          <w:szCs w:val="32"/>
          <w:shd w:val="clear" w:fill="FFFFFF"/>
          <w:lang w:val="en-US" w:eastAsia="zh-CN" w:bidi="ar"/>
        </w:rPr>
        <w:t>、先进制造、电子信息、生物医药和节能环保五类专题研究项目，</w:t>
      </w:r>
      <w:r>
        <w:rPr>
          <w:rFonts w:hint="eastAsia" w:ascii="仿宋_GB2312" w:hAnsi="仿宋_GB2312" w:eastAsia="仿宋_GB2312" w:cs="仿宋_GB2312"/>
          <w:sz w:val="32"/>
          <w:szCs w:val="32"/>
          <w:lang w:val="en-US" w:eastAsia="zh-CN"/>
        </w:rPr>
        <w:t>研究主题包括不限于以下内容：</w:t>
      </w:r>
    </w:p>
    <w:tbl>
      <w:tblPr>
        <w:tblStyle w:val="6"/>
        <w:tblW w:w="90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7"/>
        <w:gridCol w:w="680"/>
        <w:gridCol w:w="5601"/>
        <w:gridCol w:w="16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需求编号</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类别</w:t>
            </w:r>
          </w:p>
        </w:tc>
        <w:tc>
          <w:tcPr>
            <w:tcW w:w="5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研究主题</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专业领域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center"/>
              <w:textAlignment w:val="auto"/>
              <w:rPr>
                <w:rFonts w:hint="default"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C01</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center"/>
              <w:textAlignment w:val="auto"/>
              <w:rPr>
                <w:rFonts w:hint="default"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三类</w:t>
            </w:r>
          </w:p>
        </w:tc>
        <w:tc>
          <w:tcPr>
            <w:tcW w:w="5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left"/>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网络威胁情报监测与分析</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center"/>
              <w:textAlignment w:val="auto"/>
              <w:rPr>
                <w:rFonts w:hint="default"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电子信息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center"/>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C02</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center"/>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三类</w:t>
            </w:r>
          </w:p>
        </w:tc>
        <w:tc>
          <w:tcPr>
            <w:tcW w:w="5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left"/>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基于人工智能的汉字练习识别与测评系统</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center"/>
              <w:textAlignment w:val="auto"/>
              <w:rPr>
                <w:rFonts w:hint="default"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电子信息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center"/>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C03</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center"/>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三类</w:t>
            </w:r>
          </w:p>
        </w:tc>
        <w:tc>
          <w:tcPr>
            <w:tcW w:w="5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left"/>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学生群体心理健康评估检测与追踪以及预警</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center"/>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电子信息、</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center"/>
              <w:textAlignment w:val="auto"/>
              <w:rPr>
                <w:rFonts w:hint="default"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生物医药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center"/>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C04</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center"/>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三类</w:t>
            </w:r>
          </w:p>
        </w:tc>
        <w:tc>
          <w:tcPr>
            <w:tcW w:w="5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left"/>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病理与生理状态下眼球运动追踪技术和算法的研发与应用</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center"/>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电子信息、</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center"/>
              <w:textAlignment w:val="auto"/>
              <w:rPr>
                <w:rFonts w:hint="default"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生物医药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center"/>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C05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center"/>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三类</w:t>
            </w:r>
          </w:p>
        </w:tc>
        <w:tc>
          <w:tcPr>
            <w:tcW w:w="5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left"/>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中老年身心共病风险预测</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center"/>
              <w:textAlignment w:val="auto"/>
              <w:rPr>
                <w:rFonts w:hint="default"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生物医药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center"/>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C06</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center"/>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三类</w:t>
            </w:r>
          </w:p>
        </w:tc>
        <w:tc>
          <w:tcPr>
            <w:tcW w:w="5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left"/>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一种可用于高通量活性精子筛选的被动式微流控芯片</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center"/>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生物医药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center"/>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C07</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center"/>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三类</w:t>
            </w:r>
          </w:p>
        </w:tc>
        <w:tc>
          <w:tcPr>
            <w:tcW w:w="5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left"/>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山茶油治疗特应性皮炎的药效物质基础研究</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center"/>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生物医药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center"/>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C08</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center"/>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三类</w:t>
            </w:r>
          </w:p>
        </w:tc>
        <w:tc>
          <w:tcPr>
            <w:tcW w:w="5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left"/>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体外诊断血钙离子浓度的快速便捷解决方案</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center"/>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生物医药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center"/>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C09</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center"/>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三类</w:t>
            </w:r>
          </w:p>
        </w:tc>
        <w:tc>
          <w:tcPr>
            <w:tcW w:w="5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left"/>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破壁机用高速、高功率密度永磁同步电机的研发与产业化</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center"/>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先进制造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center"/>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C10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center"/>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三类</w:t>
            </w:r>
          </w:p>
        </w:tc>
        <w:tc>
          <w:tcPr>
            <w:tcW w:w="5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left"/>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芯片封装切割用金刚石砂轮及切割工艺</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center"/>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先进制造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center"/>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C11</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center"/>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三类</w:t>
            </w:r>
          </w:p>
        </w:tc>
        <w:tc>
          <w:tcPr>
            <w:tcW w:w="5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left"/>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超声波主轴、永磁同步电机集成控制系统</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center"/>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先进制造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center"/>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C12</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center"/>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三类</w:t>
            </w:r>
          </w:p>
        </w:tc>
        <w:tc>
          <w:tcPr>
            <w:tcW w:w="5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left"/>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基于多传感器信息融合的智能驾驶电动车开发</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center"/>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先进制造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center"/>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C13</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center"/>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三类</w:t>
            </w:r>
          </w:p>
        </w:tc>
        <w:tc>
          <w:tcPr>
            <w:tcW w:w="5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left"/>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基于人工智能3D立体面焊接缺陷识别技术与机器人二次深度开发应用研究</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center"/>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先进制造、</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center"/>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电子信息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center"/>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C14</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center"/>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三类</w:t>
            </w:r>
          </w:p>
        </w:tc>
        <w:tc>
          <w:tcPr>
            <w:tcW w:w="5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left"/>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开发高强高导小尺寸弥散铜合金棒材和管材制备工艺</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center"/>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新材料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center"/>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C15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center"/>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三类</w:t>
            </w:r>
          </w:p>
        </w:tc>
        <w:tc>
          <w:tcPr>
            <w:tcW w:w="5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left"/>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新型高效制氢催化剂</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center"/>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新材料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center"/>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C16</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center"/>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三类</w:t>
            </w:r>
          </w:p>
        </w:tc>
        <w:tc>
          <w:tcPr>
            <w:tcW w:w="5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left"/>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电路板防水膜</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center"/>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新材料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center"/>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C17</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center"/>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三类</w:t>
            </w:r>
          </w:p>
        </w:tc>
        <w:tc>
          <w:tcPr>
            <w:tcW w:w="5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left"/>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植物香料提取技术工艺研究</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center"/>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新材料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center"/>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C18</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center"/>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三类</w:t>
            </w:r>
          </w:p>
        </w:tc>
        <w:tc>
          <w:tcPr>
            <w:tcW w:w="5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left"/>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多能互补相变储热太阳能热泵供热系统构建及优化</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center"/>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新材料、</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400" w:lineRule="exact"/>
              <w:ind w:left="0" w:right="0" w:firstLine="0"/>
              <w:jc w:val="center"/>
              <w:textAlignment w:val="auto"/>
              <w:rPr>
                <w:rFonts w:hint="eastAsia" w:ascii="仿宋_GB2312" w:hAnsi="Segoe UI" w:eastAsia="仿宋_GB2312" w:cs="仿宋_GB2312"/>
                <w:i w:val="0"/>
                <w:iCs w:val="0"/>
                <w:caps w:val="0"/>
                <w:color w:val="000000"/>
                <w:spacing w:val="0"/>
                <w:kern w:val="0"/>
                <w:sz w:val="22"/>
                <w:szCs w:val="22"/>
                <w:shd w:val="clear" w:fill="FFFFFF"/>
                <w:lang w:val="en-US" w:eastAsia="zh-CN" w:bidi="ar"/>
              </w:rPr>
            </w:pPr>
            <w:r>
              <w:rPr>
                <w:rFonts w:hint="eastAsia" w:ascii="仿宋_GB2312" w:hAnsi="Segoe UI" w:eastAsia="仿宋_GB2312" w:cs="仿宋_GB2312"/>
                <w:i w:val="0"/>
                <w:iCs w:val="0"/>
                <w:caps w:val="0"/>
                <w:color w:val="000000"/>
                <w:spacing w:val="0"/>
                <w:kern w:val="0"/>
                <w:sz w:val="22"/>
                <w:szCs w:val="22"/>
                <w:shd w:val="clear" w:fill="FFFFFF"/>
                <w:lang w:val="en-US" w:eastAsia="zh-CN" w:bidi="ar"/>
              </w:rPr>
              <w:t>节能环保</w:t>
            </w:r>
          </w:p>
        </w:tc>
      </w:tr>
    </w:tbl>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五、实施周期及目标</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实施期1至3年，项目团队应在</w:t>
      </w:r>
      <w:r>
        <w:rPr>
          <w:rFonts w:hint="eastAsia" w:ascii="仿宋_GB2312" w:hAnsi="仿宋" w:eastAsia="仿宋_GB2312"/>
          <w:sz w:val="32"/>
          <w:szCs w:val="32"/>
          <w:shd w:val="clear" w:color="auto" w:fill="FFFFFF"/>
          <w:lang w:val="en-US" w:eastAsia="zh-CN"/>
        </w:rPr>
        <w:t>实施期</w:t>
      </w:r>
      <w:r>
        <w:rPr>
          <w:rFonts w:hint="eastAsia" w:ascii="仿宋_GB2312" w:eastAsia="仿宋_GB2312"/>
          <w:sz w:val="32"/>
          <w:szCs w:val="32"/>
          <w:lang w:val="en-US" w:eastAsia="zh-CN"/>
        </w:rPr>
        <w:t>内完成《立项申报书》各项指标内容，并将有关验收材料提交至广东高校科技成果转化中心，具体安排另行通知。</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六、材料要求</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2377"/>
        <w:gridCol w:w="5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88" w:type="dxa"/>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序号</w:t>
            </w:r>
          </w:p>
        </w:tc>
        <w:tc>
          <w:tcPr>
            <w:tcW w:w="2377" w:type="dxa"/>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附件名称</w:t>
            </w:r>
          </w:p>
        </w:tc>
        <w:tc>
          <w:tcPr>
            <w:tcW w:w="5995" w:type="dxa"/>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填报须知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88" w:type="dxa"/>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2377" w:type="dxa"/>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立项申报书</w:t>
            </w:r>
          </w:p>
        </w:tc>
        <w:tc>
          <w:tcPr>
            <w:tcW w:w="5995" w:type="dxa"/>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80" w:lineRule="exact"/>
              <w:ind w:right="0" w:rightChars="0"/>
              <w:jc w:val="left"/>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需</w:t>
            </w:r>
            <w:r>
              <w:rPr>
                <w:rFonts w:hint="default" w:ascii="仿宋_GB2312" w:hAnsi="仿宋_GB2312" w:eastAsia="仿宋_GB2312" w:cs="仿宋_GB2312"/>
                <w:sz w:val="21"/>
                <w:szCs w:val="21"/>
                <w:vertAlign w:val="baseline"/>
                <w:lang w:val="en-US" w:eastAsia="zh-CN"/>
              </w:rPr>
              <w:t>在首页、承诺书、项目组成员</w:t>
            </w:r>
            <w:r>
              <w:rPr>
                <w:rFonts w:hint="eastAsia" w:ascii="仿宋_GB2312" w:hAnsi="仿宋_GB2312" w:eastAsia="仿宋_GB2312" w:cs="仿宋_GB2312"/>
                <w:sz w:val="21"/>
                <w:szCs w:val="21"/>
                <w:vertAlign w:val="baseline"/>
                <w:lang w:val="en-US" w:eastAsia="zh-CN"/>
              </w:rPr>
              <w:t>页、</w:t>
            </w:r>
            <w:r>
              <w:rPr>
                <w:rFonts w:hint="default" w:ascii="仿宋_GB2312" w:hAnsi="仿宋_GB2312" w:eastAsia="仿宋_GB2312" w:cs="仿宋_GB2312"/>
                <w:sz w:val="21"/>
                <w:szCs w:val="21"/>
                <w:vertAlign w:val="baseline"/>
                <w:lang w:val="en-US" w:eastAsia="zh-CN"/>
              </w:rPr>
              <w:t>审核意见页</w:t>
            </w:r>
            <w:r>
              <w:rPr>
                <w:rFonts w:hint="eastAsia" w:ascii="仿宋_GB2312" w:hAnsi="仿宋_GB2312" w:eastAsia="仿宋_GB2312" w:cs="仿宋_GB2312"/>
                <w:sz w:val="21"/>
                <w:szCs w:val="21"/>
                <w:vertAlign w:val="baseline"/>
                <w:lang w:val="en-US" w:eastAsia="zh-CN"/>
              </w:rPr>
              <w:t>相应位置</w:t>
            </w:r>
            <w:r>
              <w:rPr>
                <w:rFonts w:hint="default" w:ascii="仿宋_GB2312" w:hAnsi="仿宋_GB2312" w:eastAsia="仿宋_GB2312" w:cs="仿宋_GB2312"/>
                <w:sz w:val="21"/>
                <w:szCs w:val="21"/>
                <w:vertAlign w:val="baseline"/>
                <w:lang w:val="en-US" w:eastAsia="zh-CN"/>
              </w:rPr>
              <w:t>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88" w:type="dxa"/>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2377" w:type="dxa"/>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统一社会信用代码证书</w:t>
            </w:r>
          </w:p>
        </w:tc>
        <w:tc>
          <w:tcPr>
            <w:tcW w:w="5995" w:type="dxa"/>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80" w:lineRule="exact"/>
              <w:ind w:right="0" w:right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需提供所属单位的统一社会信用代码证书。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88" w:type="dxa"/>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2377" w:type="dxa"/>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项目负责人及</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团队成员证明材料</w:t>
            </w:r>
          </w:p>
        </w:tc>
        <w:tc>
          <w:tcPr>
            <w:tcW w:w="5995" w:type="dxa"/>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80" w:lineRule="exact"/>
              <w:ind w:right="0" w:right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（1）身份证；</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80" w:lineRule="exact"/>
              <w:ind w:right="0" w:right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（2）职称证书；</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80" w:lineRule="exact"/>
              <w:ind w:right="0" w:right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（3）最高学历的学位证书；</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80" w:lineRule="exact"/>
              <w:ind w:right="0" w:right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（4）在职证明或聘用合同；</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80" w:lineRule="exact"/>
              <w:ind w:right="0" w:right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（5）近六个月社保缴纳证明或完税证明。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88" w:type="dxa"/>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2377" w:type="dxa"/>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center"/>
              <w:textAlignment w:val="auto"/>
              <w:rPr>
                <w:rFonts w:hint="eastAsia" w:ascii="仿宋_GB2312" w:hAnsi="仿宋_GB2312" w:eastAsia="仿宋_GB2312" w:cs="仿宋_GB2312"/>
                <w:kern w:val="0"/>
                <w:sz w:val="21"/>
                <w:szCs w:val="21"/>
                <w:vertAlign w:val="baseline"/>
                <w:lang w:val="en-US" w:eastAsia="zh-CN" w:bidi="ar"/>
              </w:rPr>
            </w:pPr>
            <w:r>
              <w:rPr>
                <w:rFonts w:hint="eastAsia" w:ascii="仿宋_GB2312" w:hAnsi="仿宋_GB2312" w:eastAsia="仿宋_GB2312" w:cs="仿宋_GB2312"/>
                <w:kern w:val="0"/>
                <w:sz w:val="21"/>
                <w:szCs w:val="21"/>
                <w:vertAlign w:val="baseline"/>
                <w:lang w:val="en-US" w:eastAsia="zh-CN" w:bidi="ar"/>
              </w:rPr>
              <w:t>项目相关知识产权证明材料</w:t>
            </w:r>
          </w:p>
        </w:tc>
        <w:tc>
          <w:tcPr>
            <w:tcW w:w="5995" w:type="dxa"/>
            <w:vAlign w:val="center"/>
          </w:tcPr>
          <w:p>
            <w:pPr>
              <w:keepNext w:val="0"/>
              <w:keepLines w:val="0"/>
              <w:pageBreakBefore w:val="0"/>
              <w:numPr>
                <w:ilvl w:val="0"/>
                <w:numId w:val="0"/>
              </w:numPr>
              <w:shd w:val="clear" w:color="auto" w:fill="auto"/>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bCs/>
                <w:sz w:val="21"/>
                <w:szCs w:val="21"/>
                <w:highlight w:val="none"/>
                <w:shd w:val="clear" w:color="auto" w:fill="FFFFFF"/>
                <w:lang w:val="en-US" w:eastAsia="zh-CN"/>
              </w:rPr>
            </w:pPr>
            <w:r>
              <w:rPr>
                <w:rFonts w:hint="eastAsia" w:ascii="仿宋_GB2312" w:hAnsi="仿宋_GB2312" w:eastAsia="仿宋_GB2312" w:cs="仿宋_GB2312"/>
                <w:sz w:val="21"/>
                <w:szCs w:val="21"/>
                <w:vertAlign w:val="baseline"/>
                <w:lang w:val="en-US" w:eastAsia="zh-CN"/>
              </w:rPr>
              <w:t>（1）</w:t>
            </w:r>
            <w:r>
              <w:rPr>
                <w:rFonts w:hint="eastAsia" w:ascii="仿宋_GB2312" w:hAnsi="仿宋_GB2312" w:eastAsia="仿宋_GB2312" w:cs="仿宋_GB2312"/>
                <w:bCs/>
                <w:sz w:val="21"/>
                <w:szCs w:val="21"/>
                <w:highlight w:val="none"/>
                <w:lang w:val="en-US" w:eastAsia="zh-CN"/>
              </w:rPr>
              <w:t>按立项申报书知识产权清单填报</w:t>
            </w:r>
            <w:r>
              <w:rPr>
                <w:rFonts w:hint="eastAsia" w:ascii="仿宋_GB2312" w:hAnsi="仿宋_GB2312" w:eastAsia="仿宋_GB2312" w:cs="仿宋_GB2312"/>
                <w:bCs/>
                <w:sz w:val="21"/>
                <w:szCs w:val="21"/>
                <w:highlight w:val="none"/>
                <w:shd w:val="clear" w:color="auto" w:fill="FFFFFF"/>
                <w:lang w:val="en-US" w:eastAsia="zh-CN"/>
              </w:rPr>
              <w:t>顺序提交。</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left"/>
              <w:textAlignment w:val="auto"/>
              <w:rPr>
                <w:rFonts w:hint="eastAsia" w:ascii="仿宋_GB2312" w:hAnsi="仿宋_GB2312" w:eastAsia="仿宋_GB2312" w:cs="仿宋_GB2312"/>
                <w:kern w:val="0"/>
                <w:sz w:val="21"/>
                <w:szCs w:val="21"/>
                <w:vertAlign w:val="baseline"/>
                <w:lang w:val="en-US" w:eastAsia="zh-CN" w:bidi="ar"/>
              </w:rPr>
            </w:pPr>
            <w:r>
              <w:rPr>
                <w:rFonts w:hint="eastAsia" w:ascii="仿宋_GB2312" w:hAnsi="仿宋_GB2312" w:eastAsia="仿宋_GB2312" w:cs="仿宋_GB2312"/>
                <w:sz w:val="21"/>
                <w:szCs w:val="21"/>
                <w:vertAlign w:val="baseline"/>
                <w:lang w:val="en-US" w:eastAsia="zh-CN"/>
              </w:rPr>
              <w:t>（2）</w:t>
            </w:r>
            <w:r>
              <w:rPr>
                <w:rFonts w:hint="eastAsia" w:ascii="仿宋_GB2312" w:hAnsi="仿宋_GB2312" w:eastAsia="仿宋_GB2312" w:cs="仿宋_GB2312"/>
                <w:kern w:val="0"/>
                <w:sz w:val="21"/>
                <w:szCs w:val="21"/>
                <w:vertAlign w:val="baseline"/>
                <w:lang w:val="en-US" w:eastAsia="zh-CN" w:bidi="ar"/>
              </w:rPr>
              <w:t>包括专利、软著、核心期刊及SCI文章、奖项等相关证明材料。其中核心期刊及SCI文章证明材料仅需提供论文录用通知单/刊登论文的样刊图片/知网等论文数据库查询页面。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88" w:type="dxa"/>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2377" w:type="dxa"/>
            <w:vAlign w:val="center"/>
          </w:tcPr>
          <w:p>
            <w:pPr>
              <w:keepNext w:val="0"/>
              <w:keepLines w:val="0"/>
              <w:pageBreakBefore w:val="0"/>
              <w:shd w:val="clear" w:color="auto" w:fill="auto"/>
              <w:kinsoku/>
              <w:wordWrap/>
              <w:overflowPunct/>
              <w:topLinePunct w:val="0"/>
              <w:autoSpaceDE/>
              <w:bidi w:val="0"/>
              <w:adjustRightInd w:val="0"/>
              <w:snapToGrid w:val="0"/>
              <w:spacing w:line="240" w:lineRule="exact"/>
              <w:jc w:val="center"/>
              <w:textAlignment w:val="auto"/>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项目转化情况证明材料</w:t>
            </w:r>
          </w:p>
        </w:tc>
        <w:tc>
          <w:tcPr>
            <w:tcW w:w="5995" w:type="dxa"/>
            <w:vAlign w:val="center"/>
          </w:tcPr>
          <w:p>
            <w:pPr>
              <w:keepNext w:val="0"/>
              <w:keepLines w:val="0"/>
              <w:pageBreakBefore w:val="0"/>
              <w:numPr>
                <w:ilvl w:val="0"/>
                <w:numId w:val="0"/>
              </w:numPr>
              <w:shd w:val="clear" w:color="auto" w:fill="auto"/>
              <w:kinsoku/>
              <w:wordWrap/>
              <w:overflowPunct/>
              <w:topLinePunct w:val="0"/>
              <w:autoSpaceDE/>
              <w:autoSpaceDN/>
              <w:bidi w:val="0"/>
              <w:adjustRightInd w:val="0"/>
              <w:snapToGrid w:val="0"/>
              <w:spacing w:line="280" w:lineRule="exact"/>
              <w:ind w:left="0" w:leftChars="0" w:firstLine="0" w:firstLineChars="0"/>
              <w:textAlignment w:val="auto"/>
              <w:rPr>
                <w:rFonts w:hint="default"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sz w:val="21"/>
                <w:szCs w:val="21"/>
                <w:vertAlign w:val="baseline"/>
                <w:lang w:val="en-US" w:eastAsia="zh-CN"/>
              </w:rPr>
              <w:t>（1）</w:t>
            </w:r>
            <w:r>
              <w:rPr>
                <w:rFonts w:hint="eastAsia" w:ascii="仿宋_GB2312" w:hAnsi="仿宋_GB2312" w:eastAsia="仿宋_GB2312" w:cs="仿宋_GB2312"/>
                <w:bCs/>
                <w:sz w:val="21"/>
                <w:szCs w:val="21"/>
                <w:highlight w:val="none"/>
                <w:lang w:val="en-US" w:eastAsia="zh-CN"/>
              </w:rPr>
              <w:t>按立项申报书现阶段转化成效清单填报</w:t>
            </w:r>
            <w:r>
              <w:rPr>
                <w:rFonts w:hint="eastAsia" w:ascii="仿宋_GB2312" w:hAnsi="仿宋_GB2312" w:eastAsia="仿宋_GB2312" w:cs="仿宋_GB2312"/>
                <w:bCs/>
                <w:sz w:val="21"/>
                <w:szCs w:val="21"/>
                <w:highlight w:val="none"/>
                <w:shd w:val="clear" w:color="auto" w:fill="FFFFFF"/>
                <w:lang w:val="en-US" w:eastAsia="zh-CN"/>
              </w:rPr>
              <w:t>顺序提交。</w:t>
            </w:r>
          </w:p>
          <w:p>
            <w:pPr>
              <w:keepNext w:val="0"/>
              <w:keepLines w:val="0"/>
              <w:pageBreakBefore w:val="0"/>
              <w:numPr>
                <w:ilvl w:val="0"/>
                <w:numId w:val="0"/>
              </w:numPr>
              <w:shd w:val="clear" w:color="auto" w:fill="auto"/>
              <w:kinsoku/>
              <w:wordWrap/>
              <w:overflowPunct/>
              <w:topLinePunct w:val="0"/>
              <w:autoSpaceDE/>
              <w:autoSpaceDN/>
              <w:bidi w:val="0"/>
              <w:adjustRightInd w:val="0"/>
              <w:snapToGrid w:val="0"/>
              <w:spacing w:line="280" w:lineRule="exact"/>
              <w:ind w:left="0" w:leftChars="0" w:firstLine="0" w:firstLineChars="0"/>
              <w:textAlignment w:val="auto"/>
              <w:rPr>
                <w:rFonts w:hint="eastAsia" w:ascii="仿宋_GB2312" w:hAnsi="仿宋_GB2312" w:eastAsia="仿宋_GB2312" w:cs="仿宋_GB2312"/>
                <w:bCs/>
                <w:color w:val="222222"/>
                <w:kern w:val="2"/>
                <w:sz w:val="21"/>
                <w:szCs w:val="21"/>
                <w:lang w:val="en-US" w:eastAsia="zh-CN" w:bidi="ar-SA"/>
              </w:rPr>
            </w:pPr>
            <w:r>
              <w:rPr>
                <w:rFonts w:hint="eastAsia" w:ascii="仿宋_GB2312" w:hAnsi="仿宋_GB2312" w:eastAsia="仿宋_GB2312" w:cs="仿宋_GB2312"/>
                <w:sz w:val="21"/>
                <w:szCs w:val="21"/>
                <w:vertAlign w:val="baseline"/>
                <w:lang w:val="en-US" w:eastAsia="zh-CN"/>
              </w:rPr>
              <w:t>（2）</w:t>
            </w:r>
            <w:r>
              <w:rPr>
                <w:rFonts w:hint="eastAsia" w:ascii="仿宋_GB2312" w:hAnsi="仿宋_GB2312" w:eastAsia="仿宋_GB2312" w:cs="仿宋_GB2312"/>
                <w:bCs/>
                <w:sz w:val="21"/>
                <w:szCs w:val="21"/>
                <w:highlight w:val="none"/>
                <w:lang w:val="en-US" w:eastAsia="zh-CN"/>
              </w:rPr>
              <w:t>包括五技（技术转让、技术许可、技术开发、技术咨询、技术服务）合同和其他产学研合同。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88" w:type="dxa"/>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2377" w:type="dxa"/>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资金筹措证明材料</w:t>
            </w:r>
          </w:p>
        </w:tc>
        <w:tc>
          <w:tcPr>
            <w:tcW w:w="5995" w:type="dxa"/>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80" w:lineRule="exact"/>
              <w:ind w:right="0" w:rightChars="0"/>
              <w:jc w:val="left"/>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包括但不限于投资意向书或承诺书、财政资金相关证明材料等。其中财政资金证明材料包括立项通知、合同书、任务书等。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88" w:type="dxa"/>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2377" w:type="dxa"/>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default" w:ascii="仿宋_GB2312" w:hAnsi="仿宋_GB2312" w:eastAsia="仿宋_GB2312" w:cs="仿宋_GB2312"/>
                <w:sz w:val="21"/>
                <w:szCs w:val="21"/>
                <w:vertAlign w:val="baseline"/>
                <w:lang w:val="en-US" w:eastAsia="zh-CN"/>
              </w:rPr>
            </w:pPr>
            <w:r>
              <w:rPr>
                <w:rFonts w:hint="default" w:ascii="仿宋_GB2312" w:hAnsi="仿宋_GB2312" w:eastAsia="仿宋_GB2312" w:cs="仿宋_GB2312"/>
                <w:sz w:val="21"/>
                <w:szCs w:val="21"/>
                <w:vertAlign w:val="baseline"/>
                <w:lang w:val="en-US" w:eastAsia="zh-CN"/>
              </w:rPr>
              <w:t>其他与本</w:t>
            </w:r>
            <w:r>
              <w:rPr>
                <w:rFonts w:hint="eastAsia" w:ascii="仿宋_GB2312" w:hAnsi="仿宋_GB2312" w:eastAsia="仿宋_GB2312" w:cs="仿宋_GB2312"/>
                <w:sz w:val="21"/>
                <w:szCs w:val="21"/>
                <w:vertAlign w:val="baseline"/>
                <w:lang w:val="en-US" w:eastAsia="zh-CN"/>
              </w:rPr>
              <w:t>项目</w:t>
            </w:r>
            <w:r>
              <w:rPr>
                <w:rFonts w:hint="default" w:ascii="仿宋_GB2312" w:hAnsi="仿宋_GB2312" w:eastAsia="仿宋_GB2312" w:cs="仿宋_GB2312"/>
                <w:sz w:val="21"/>
                <w:szCs w:val="21"/>
                <w:vertAlign w:val="baseline"/>
                <w:lang w:val="en-US" w:eastAsia="zh-CN"/>
              </w:rPr>
              <w:t>相关</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default" w:ascii="仿宋_GB2312" w:hAnsi="仿宋_GB2312" w:eastAsia="仿宋_GB2312" w:cs="仿宋_GB2312"/>
                <w:sz w:val="21"/>
                <w:szCs w:val="21"/>
                <w:vertAlign w:val="baseline"/>
                <w:lang w:val="en-US" w:eastAsia="zh-CN"/>
              </w:rPr>
            </w:pPr>
            <w:r>
              <w:rPr>
                <w:rFonts w:hint="default" w:ascii="仿宋_GB2312" w:hAnsi="仿宋_GB2312" w:eastAsia="仿宋_GB2312" w:cs="仿宋_GB2312"/>
                <w:sz w:val="21"/>
                <w:szCs w:val="21"/>
                <w:vertAlign w:val="baseline"/>
                <w:lang w:val="en-US" w:eastAsia="zh-CN"/>
              </w:rPr>
              <w:t>证明材料</w:t>
            </w:r>
          </w:p>
        </w:tc>
        <w:tc>
          <w:tcPr>
            <w:tcW w:w="5995" w:type="dxa"/>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80" w:lineRule="exact"/>
              <w:ind w:right="0" w:rightChars="0"/>
              <w:jc w:val="left"/>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如与我市企业签订的合作协议或合作意向书、近3年技术应用成功案例相关证明材料等。</w:t>
            </w:r>
          </w:p>
        </w:tc>
      </w:tr>
    </w:tbl>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textAlignment w:val="auto"/>
        <w:rPr>
          <w:rFonts w:hint="eastAsia" w:ascii="仿宋_GB2312" w:hAnsi="仿宋_GB2312" w:eastAsia="仿宋_GB2312" w:cs="仿宋_GB2312"/>
          <w:sz w:val="32"/>
          <w:szCs w:val="32"/>
          <w:lang w:val="en-US" w:eastAsia="zh-CN"/>
        </w:rPr>
      </w:pP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0"/>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sz w:val="20"/>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lYzZkYzJkNzgzYTc2YTI0NTRjMThkNWUxNzY5YmEifQ=="/>
  </w:docVars>
  <w:rsids>
    <w:rsidRoot w:val="03B6203C"/>
    <w:rsid w:val="00E51016"/>
    <w:rsid w:val="03B6203C"/>
    <w:rsid w:val="06EC06CF"/>
    <w:rsid w:val="0D874FF2"/>
    <w:rsid w:val="0E9103ED"/>
    <w:rsid w:val="0EEF1761"/>
    <w:rsid w:val="0FAC0285"/>
    <w:rsid w:val="161933AE"/>
    <w:rsid w:val="17984446"/>
    <w:rsid w:val="202028F3"/>
    <w:rsid w:val="22A10E8E"/>
    <w:rsid w:val="245B61AA"/>
    <w:rsid w:val="273F6303"/>
    <w:rsid w:val="2C746D47"/>
    <w:rsid w:val="2CE83322"/>
    <w:rsid w:val="31462D0D"/>
    <w:rsid w:val="328604CA"/>
    <w:rsid w:val="340F4C02"/>
    <w:rsid w:val="349E139F"/>
    <w:rsid w:val="34AE4157"/>
    <w:rsid w:val="351E2C7D"/>
    <w:rsid w:val="3553075A"/>
    <w:rsid w:val="3583439F"/>
    <w:rsid w:val="372E1E27"/>
    <w:rsid w:val="38C03D90"/>
    <w:rsid w:val="3B6F7313"/>
    <w:rsid w:val="3B8B4414"/>
    <w:rsid w:val="3CA33FF9"/>
    <w:rsid w:val="3D8B5F3C"/>
    <w:rsid w:val="3EAD1CD6"/>
    <w:rsid w:val="43C31F9B"/>
    <w:rsid w:val="45B60600"/>
    <w:rsid w:val="4DD02E35"/>
    <w:rsid w:val="50EC25F8"/>
    <w:rsid w:val="529F0C51"/>
    <w:rsid w:val="57C52131"/>
    <w:rsid w:val="58D21616"/>
    <w:rsid w:val="59393D40"/>
    <w:rsid w:val="5B993FDF"/>
    <w:rsid w:val="62933B97"/>
    <w:rsid w:val="62B6186C"/>
    <w:rsid w:val="645638A1"/>
    <w:rsid w:val="65545AEB"/>
    <w:rsid w:val="6BAE7310"/>
    <w:rsid w:val="70E67C79"/>
    <w:rsid w:val="734C7372"/>
    <w:rsid w:val="74AF52EF"/>
    <w:rsid w:val="74ED0F83"/>
    <w:rsid w:val="750161D2"/>
    <w:rsid w:val="772B4BD7"/>
    <w:rsid w:val="7B763B69"/>
    <w:rsid w:val="7E9D1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0">
    <w:name w:val="font11"/>
    <w:basedOn w:val="8"/>
    <w:qFormat/>
    <w:uiPriority w:val="0"/>
    <w:rPr>
      <w:rFonts w:hint="eastAsia" w:ascii="仿宋_GB2312" w:eastAsia="仿宋_GB2312" w:cs="仿宋_GB2312"/>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961</Words>
  <Characters>980</Characters>
  <Lines>0</Lines>
  <Paragraphs>0</Paragraphs>
  <TotalTime>24</TotalTime>
  <ScaleCrop>false</ScaleCrop>
  <LinksUpToDate>false</LinksUpToDate>
  <CharactersWithSpaces>982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2022-08-15T07:57:00Z</dcterms:created>
  <dc:creator>阿邈</dc:creator>
  <cp:lastModifiedBy>赖建新</cp:lastModifiedBy>
  <cp:lastPrinted>2023-02-03T06:43:00Z</cp:lastPrinted>
  <dcterms:modified xsi:type="dcterms:W3CDTF">2024-03-08T01:17:45Z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F31D925E0C1F4FC990F18D2BA9228364</vt:lpwstr>
  </property>
</Properties>
</file>