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700" w:right="0" w:rightChars="0" w:hanging="1600" w:hangingChars="500"/>
        <w:jc w:val="center"/>
        <w:textAlignment w:val="auto"/>
        <w:outlineLvl w:val="9"/>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val="en-US" w:eastAsia="zh-CN"/>
        </w:rPr>
        <w:t>专项一：“建设粤港澳大湾区”“支持深圳建设中国特色社会主义先行示范区”和“建设深圳深港现代服务业合作区、珠海横琴粤澳深度合作区”研究专项申报须知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lang w:val="en-US" w:eastAsia="zh-CN"/>
        </w:rPr>
      </w:pPr>
      <w:r>
        <w:rPr>
          <w:rFonts w:hint="eastAsia" w:ascii="仿宋_GB2312" w:hAnsi="仿宋_GB2312" w:eastAsia="仿宋_GB2312" w:cs="仿宋_GB2312"/>
          <w:i w:val="0"/>
          <w:caps w:val="0"/>
          <w:color w:val="auto"/>
          <w:spacing w:val="36"/>
          <w:sz w:val="32"/>
          <w:szCs w:val="32"/>
          <w:u w:val="non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黑体" w:hAnsi="黑体" w:eastAsia="黑体" w:cs="黑体"/>
          <w:i w:val="0"/>
          <w:caps w:val="0"/>
          <w:color w:val="auto"/>
          <w:spacing w:val="36"/>
          <w:sz w:val="32"/>
          <w:szCs w:val="32"/>
          <w:u w:val="none"/>
          <w:shd w:val="clear" w:color="auto" w:fill="FFFFFF"/>
        </w:rPr>
      </w:pPr>
      <w:r>
        <w:rPr>
          <w:rFonts w:hint="eastAsia" w:ascii="黑体" w:hAnsi="黑体" w:eastAsia="黑体" w:cs="黑体"/>
          <w:i w:val="0"/>
          <w:caps w:val="0"/>
          <w:color w:val="auto"/>
          <w:spacing w:val="36"/>
          <w:sz w:val="32"/>
          <w:szCs w:val="32"/>
          <w:u w:val="none"/>
          <w:shd w:val="clear" w:color="auto" w:fill="FFFFFF"/>
          <w:lang w:eastAsia="zh-CN"/>
        </w:rPr>
        <w:t>一、</w:t>
      </w:r>
      <w:r>
        <w:rPr>
          <w:rFonts w:hint="eastAsia" w:ascii="黑体" w:hAnsi="黑体" w:eastAsia="黑体" w:cs="黑体"/>
          <w:i w:val="0"/>
          <w:caps w:val="0"/>
          <w:color w:val="auto"/>
          <w:spacing w:val="36"/>
          <w:sz w:val="32"/>
          <w:szCs w:val="32"/>
          <w:u w:val="none"/>
          <w:shd w:val="clear" w:color="auto" w:fill="FFFFFF"/>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rPr>
      </w:pPr>
      <w:r>
        <w:rPr>
          <w:rFonts w:hint="eastAsia" w:ascii="仿宋_GB2312" w:hAnsi="仿宋_GB2312" w:eastAsia="仿宋_GB2312" w:cs="仿宋_GB2312"/>
          <w:color w:val="auto"/>
          <w:kern w:val="2"/>
          <w:sz w:val="32"/>
          <w:szCs w:val="32"/>
          <w:lang w:val="en-US" w:eastAsia="zh-CN" w:bidi="ar-SA"/>
        </w:rPr>
        <w:t>坚持以习近平新时代中国特色社会主义思想为指导，全面贯彻落实党的十九大和十九届历次全会精神，围绕建设粤港澳大湾区及支持深圳建设中国特色社会主义先行示范区</w:t>
      </w:r>
      <w:r>
        <w:rPr>
          <w:rFonts w:hint="eastAsia"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特别是推动</w:t>
      </w:r>
      <w:r>
        <w:rPr>
          <w:rFonts w:hint="default" w:ascii="仿宋_GB2312" w:hAnsi="仿宋_GB2312" w:eastAsia="仿宋_GB2312" w:cs="仿宋_GB2312"/>
          <w:color w:val="auto"/>
          <w:kern w:val="2"/>
          <w:sz w:val="32"/>
          <w:szCs w:val="32"/>
          <w:lang w:eastAsia="zh-CN" w:bidi="ar-SA"/>
        </w:rPr>
        <w:t>《横琴粤澳深度合作区建设总体方案》《全面深化前海深港现代服务业合作区改革开放方案》《广州南沙深化面向世界的粤港澳全面合作总体方案》落实</w:t>
      </w:r>
      <w:r>
        <w:rPr>
          <w:rFonts w:hint="eastAsia" w:ascii="仿宋_GB2312" w:hAnsi="仿宋_GB2312" w:eastAsia="仿宋_GB2312" w:cs="仿宋_GB2312"/>
          <w:color w:val="auto"/>
          <w:kern w:val="2"/>
          <w:sz w:val="32"/>
          <w:szCs w:val="32"/>
          <w:lang w:val="en-US" w:eastAsia="zh-CN" w:bidi="ar-SA"/>
        </w:rPr>
        <w:t>的重大理论和现实问题开展研究，努力推出一批高质量研究成果，为省委、省政府决策提供理论支撑和智力支持。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b w:val="0"/>
          <w:bCs w:val="0"/>
          <w:i w:val="0"/>
          <w:caps w:val="0"/>
          <w:color w:val="auto"/>
          <w:spacing w:val="36"/>
          <w:sz w:val="32"/>
          <w:szCs w:val="32"/>
          <w:u w:val="none"/>
          <w:shd w:val="clear" w:color="auto" w:fill="FFFFFF"/>
          <w:lang w:eastAsia="zh-CN"/>
        </w:rPr>
      </w:pPr>
      <w:r>
        <w:rPr>
          <w:rFonts w:hint="eastAsia" w:ascii="黑体" w:hAnsi="黑体" w:eastAsia="黑体" w:cs="黑体"/>
          <w:i w:val="0"/>
          <w:caps w:val="0"/>
          <w:color w:val="auto"/>
          <w:spacing w:val="36"/>
          <w:sz w:val="32"/>
          <w:szCs w:val="32"/>
          <w:u w:val="none"/>
          <w:shd w:val="clear" w:color="auto" w:fill="FFFFFF"/>
          <w:lang w:eastAsia="zh-CN"/>
        </w:rPr>
        <w:t>二、</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申请人须根据自己的研究专长和研究基础，选择不同的角度、方法和侧重点，自行设计题目进行申报。本次拟</w:t>
      </w:r>
      <w:r>
        <w:rPr>
          <w:rFonts w:hint="eastAsia" w:ascii="仿宋_GB2312" w:hAnsi="仿宋_GB2312" w:eastAsia="仿宋_GB2312" w:cs="仿宋_GB2312"/>
          <w:color w:val="auto"/>
          <w:kern w:val="2"/>
          <w:sz w:val="32"/>
          <w:szCs w:val="32"/>
          <w:lang w:eastAsia="zh-CN" w:bidi="ar-SA"/>
        </w:rPr>
        <w:t>立项</w:t>
      </w:r>
      <w:r>
        <w:rPr>
          <w:rFonts w:hint="eastAsia" w:ascii="仿宋_GB2312" w:hAnsi="仿宋_GB2312" w:eastAsia="仿宋_GB2312" w:cs="仿宋_GB2312"/>
          <w:color w:val="auto"/>
          <w:kern w:val="2"/>
          <w:sz w:val="32"/>
          <w:szCs w:val="32"/>
          <w:lang w:val="en-US" w:eastAsia="zh-CN" w:bidi="ar-SA"/>
        </w:rPr>
        <w:t>10项，每项资助5万元。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744" w:firstLineChars="190"/>
        <w:textAlignment w:val="auto"/>
        <w:rPr>
          <w:rFonts w:hint="eastAsia" w:ascii="黑体" w:hAnsi="黑体" w:eastAsia="黑体" w:cs="黑体"/>
          <w:i w:val="0"/>
          <w:caps w:val="0"/>
          <w:color w:val="auto"/>
          <w:spacing w:val="36"/>
          <w:kern w:val="2"/>
          <w:sz w:val="32"/>
          <w:szCs w:val="32"/>
          <w:u w:val="none"/>
          <w:shd w:val="clear" w:color="auto" w:fill="FFFFFF"/>
          <w:lang w:eastAsia="zh-CN" w:bidi="ar-SA"/>
        </w:rPr>
      </w:pPr>
      <w:r>
        <w:rPr>
          <w:rFonts w:hint="eastAsia" w:ascii="黑体" w:hAnsi="黑体" w:eastAsia="黑体" w:cs="黑体"/>
          <w:i w:val="0"/>
          <w:caps w:val="0"/>
          <w:color w:val="auto"/>
          <w:spacing w:val="36"/>
          <w:kern w:val="2"/>
          <w:sz w:val="32"/>
          <w:szCs w:val="32"/>
          <w:u w:val="none"/>
          <w:shd w:val="clear" w:color="auto" w:fill="FFFFFF"/>
          <w:lang w:eastAsia="zh-CN" w:bidi="ar-SA"/>
        </w:rPr>
        <w:t>三、</w:t>
      </w:r>
      <w:r>
        <w:rPr>
          <w:rFonts w:hint="eastAsia" w:ascii="黑体" w:hAnsi="黑体" w:eastAsia="黑体" w:cs="黑体"/>
          <w:i w:val="0"/>
          <w:caps w:val="0"/>
          <w:color w:val="auto"/>
          <w:spacing w:val="36"/>
          <w:kern w:val="2"/>
          <w:sz w:val="32"/>
          <w:szCs w:val="32"/>
          <w:u w:val="none"/>
          <w:shd w:val="clear" w:color="auto" w:fill="FFFFFF"/>
          <w:lang w:bidi="ar-SA"/>
        </w:rPr>
        <w:t>申报</w:t>
      </w:r>
      <w:r>
        <w:rPr>
          <w:rFonts w:hint="eastAsia" w:ascii="黑体" w:hAnsi="黑体" w:eastAsia="黑体" w:cs="黑体"/>
          <w:i w:val="0"/>
          <w:caps w:val="0"/>
          <w:color w:val="auto"/>
          <w:spacing w:val="36"/>
          <w:kern w:val="2"/>
          <w:sz w:val="32"/>
          <w:szCs w:val="32"/>
          <w:u w:val="none"/>
          <w:shd w:val="clear" w:color="auto" w:fill="FFFFFF"/>
          <w:lang w:eastAsia="zh-CN" w:bidi="ar-SA"/>
        </w:rPr>
        <w:t>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1.主要受理省直有关部门，省内各高校，各地级以上市市委党校、社科研究机构，广东省习近平新时代中国特色社会主义思想研究中心各研究基地，省重点智库申报</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4.以单位名义组织申报，多单位联合申报须确定一个责任单位，</w:t>
      </w:r>
      <w:r>
        <w:rPr>
          <w:rFonts w:hint="eastAsia" w:ascii="仿宋_GB2312" w:hAnsi="仿宋_GB2312" w:eastAsia="仿宋_GB2312" w:cs="仿宋_GB2312"/>
          <w:color w:val="FF0000"/>
          <w:kern w:val="2"/>
          <w:sz w:val="32"/>
          <w:szCs w:val="32"/>
          <w:lang w:val="en-US" w:eastAsia="zh-CN" w:bidi="ar-SA"/>
        </w:rPr>
        <w:t>每个申报单位限报6项</w:t>
      </w:r>
      <w:r>
        <w:rPr>
          <w:rFonts w:hint="eastAsia" w:ascii="仿宋_GB2312" w:hAnsi="仿宋_GB2312" w:eastAsia="仿宋_GB2312" w:cs="仿宋_GB2312"/>
          <w:color w:val="auto"/>
          <w:kern w:val="2"/>
          <w:sz w:val="32"/>
          <w:szCs w:val="32"/>
          <w:lang w:val="en-US" w:eastAsia="zh-CN" w:bidi="ar-SA"/>
        </w:rPr>
        <w:t>。</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w:t>
      </w:r>
      <w:bookmarkStart w:id="0" w:name="_GoBack"/>
      <w:bookmarkEnd w:id="0"/>
      <w:r>
        <w:rPr>
          <w:rFonts w:hint="eastAsia" w:ascii="仿宋_GB2312" w:hAnsi="仿宋_GB2312" w:eastAsia="仿宋_GB2312" w:cs="仿宋_GB2312"/>
          <w:color w:val="auto"/>
          <w:kern w:val="2"/>
          <w:sz w:val="32"/>
          <w:szCs w:val="32"/>
          <w:lang w:val="en-US" w:eastAsia="zh-CN" w:bidi="ar-SA"/>
        </w:rPr>
        <w:t>取向和研究导向，遵守《广东哲学社会科学规划项目管理办法》的有关规定，原则上应具有</w:t>
      </w:r>
      <w:r>
        <w:rPr>
          <w:rFonts w:hint="eastAsia" w:ascii="仿宋_GB2312" w:hAnsi="仿宋_GB2312" w:eastAsia="仿宋_GB2312" w:cs="仿宋_GB2312"/>
          <w:color w:val="FF0000"/>
          <w:kern w:val="2"/>
          <w:sz w:val="32"/>
          <w:szCs w:val="32"/>
          <w:lang w:val="en-US" w:eastAsia="zh-CN" w:bidi="ar-SA"/>
        </w:rPr>
        <w:t>副高级（含）以上</w:t>
      </w:r>
      <w:r>
        <w:rPr>
          <w:rFonts w:hint="eastAsia" w:ascii="仿宋_GB2312" w:hAnsi="仿宋_GB2312" w:eastAsia="仿宋_GB2312" w:cs="仿宋_GB2312"/>
          <w:color w:val="auto"/>
          <w:kern w:val="2"/>
          <w:sz w:val="32"/>
          <w:szCs w:val="32"/>
          <w:lang w:val="en-US" w:eastAsia="zh-CN" w:bidi="ar-SA"/>
        </w:rPr>
        <w:t>专业技术职称（职务）或</w:t>
      </w:r>
      <w:r>
        <w:rPr>
          <w:rFonts w:hint="eastAsia" w:ascii="仿宋_GB2312" w:hAnsi="仿宋_GB2312" w:eastAsia="仿宋_GB2312" w:cs="仿宋_GB2312"/>
          <w:color w:val="FF0000"/>
          <w:kern w:val="2"/>
          <w:sz w:val="32"/>
          <w:szCs w:val="32"/>
          <w:lang w:val="en-US" w:eastAsia="zh-CN" w:bidi="ar-SA"/>
        </w:rPr>
        <w:t>具有博士学位或担任副处级（含）以上</w:t>
      </w:r>
      <w:r>
        <w:rPr>
          <w:rFonts w:hint="eastAsia" w:ascii="仿宋_GB2312" w:hAnsi="仿宋_GB2312" w:eastAsia="仿宋_GB2312" w:cs="仿宋_GB2312"/>
          <w:color w:val="auto"/>
          <w:kern w:val="2"/>
          <w:sz w:val="32"/>
          <w:szCs w:val="32"/>
          <w:lang w:val="en-US" w:eastAsia="zh-CN" w:bidi="ar-SA"/>
        </w:rPr>
        <w:t>领导职务，是课题的实际负责人，能够承担实质性研究工作并担负科研组织职责</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2.申请人应有较丰富的、与申报课题相关的前期研究成果。申请人结合自身科研优势，把握研究重点，自拟题目进行申报。</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3.在研国家社科基金项目或广东省哲学社会科学规划项目负责人，以及三年内国家社科基金项目、省社科规划项目被终止或撤项的项目负责人，不能作为负责人申报本专项。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6.项目申请人不能同时申报本年度重大基础理论研究专项、粤东西北研究专项、冷门绝学研究专项3类项目。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Fonts w:hint="eastAsia" w:ascii="黑体" w:hAnsi="黑体" w:eastAsia="黑体" w:cs="黑体"/>
          <w:b w:val="0"/>
          <w:bCs w:val="0"/>
          <w:i w:val="0"/>
          <w:caps w:val="0"/>
          <w:color w:val="auto"/>
          <w:spacing w:val="36"/>
          <w:sz w:val="32"/>
          <w:szCs w:val="32"/>
          <w:u w:val="none"/>
          <w:shd w:val="clear" w:color="auto" w:fill="FFFFFF"/>
          <w:lang w:val="en-US" w:eastAsia="zh-CN"/>
        </w:rPr>
        <w:t>四、</w:t>
      </w:r>
      <w:r>
        <w:rPr>
          <w:rStyle w:val="5"/>
          <w:rFonts w:hint="eastAsia" w:ascii="黑体" w:hAnsi="黑体" w:eastAsia="黑体" w:cs="黑体"/>
          <w:b w:val="0"/>
          <w:bCs/>
          <w:i w:val="0"/>
          <w:caps w:val="0"/>
          <w:color w:val="auto"/>
          <w:spacing w:val="36"/>
          <w:sz w:val="32"/>
          <w:szCs w:val="32"/>
          <w:u w:val="none"/>
          <w:shd w:val="clear" w:color="auto" w:fill="FFFFFF"/>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（一）本次申报须按照《申请书》规定内容和要求填写材料，文本要简洁、规范、清晰，不加附件。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课题完成时间为1年，从结果公布之日起计算。课题结项时须提交不少于3万字的高质量课题研究报告。在《人民日报》《光明日报》《经济日报》以广东省习近平新时代中国特色社会主义思想研究中心名义发表1篇以上（含1篇）与申报课题密切相关的理论文章可申请免于鉴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jhkNTQ5ZDExZmFiYmE3YWFlZDlmNjc3MGI1NTMifQ=="/>
  </w:docVars>
  <w:rsids>
    <w:rsidRoot w:val="711D3B46"/>
    <w:rsid w:val="283D7351"/>
    <w:rsid w:val="711D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1650</Words>
  <Characters>1661</Characters>
  <Lines>0</Lines>
  <Paragraphs>0</Paragraphs>
  <TotalTime>1</TotalTime>
  <ScaleCrop>false</ScaleCrop>
  <LinksUpToDate>false</LinksUpToDate>
  <CharactersWithSpaces>1664</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2022-09-19T09:42:00Z</dcterms:created>
  <dc:creator>caoxj</dc:creator>
  <cp:lastModifiedBy> 海欣仔 </cp:lastModifiedBy>
  <dcterms:modified xsi:type="dcterms:W3CDTF">2022-09-20T06:33:06Z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D613CB3E08874DEA80F4CFCE9C8AB0B5</vt:lpwstr>
  </property>
</Properties>
</file>